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1852" w14:textId="77777777" w:rsidR="005866EF" w:rsidRDefault="005866EF" w:rsidP="008C5A61">
      <w:pPr>
        <w:spacing w:before="71"/>
        <w:ind w:left="797"/>
        <w:rPr>
          <w:rFonts w:asciiTheme="minorHAnsi" w:hAnsiTheme="minorHAnsi" w:cstheme="minorHAnsi"/>
          <w:b/>
          <w:color w:val="231F20"/>
          <w:sz w:val="32"/>
          <w:szCs w:val="24"/>
          <w:u w:val="single" w:color="231F20"/>
        </w:rPr>
      </w:pPr>
    </w:p>
    <w:p w14:paraId="459D1DCD" w14:textId="77777777" w:rsidR="005866EF" w:rsidRDefault="005866EF" w:rsidP="008C5A61">
      <w:pPr>
        <w:spacing w:before="71"/>
        <w:ind w:left="797"/>
        <w:rPr>
          <w:rFonts w:asciiTheme="minorHAnsi" w:hAnsiTheme="minorHAnsi" w:cstheme="minorHAnsi"/>
          <w:b/>
          <w:color w:val="231F20"/>
          <w:sz w:val="32"/>
          <w:szCs w:val="24"/>
          <w:u w:val="single" w:color="231F20"/>
        </w:rPr>
      </w:pPr>
    </w:p>
    <w:p w14:paraId="12CF4F1E" w14:textId="378D1132" w:rsidR="00857C15" w:rsidRPr="00551035" w:rsidRDefault="00EB2C6A" w:rsidP="008C5A61">
      <w:pPr>
        <w:spacing w:before="71"/>
        <w:ind w:left="797"/>
        <w:rPr>
          <w:rFonts w:asciiTheme="minorHAnsi" w:hAnsiTheme="minorHAnsi" w:cstheme="minorHAnsi"/>
          <w:b/>
          <w:sz w:val="28"/>
        </w:rPr>
      </w:pPr>
      <w:r>
        <w:rPr>
          <w:rFonts w:ascii="Arial"/>
          <w:noProof/>
          <w:color w:val="231F20"/>
          <w:spacing w:val="-4"/>
          <w:sz w:val="14"/>
        </w:rPr>
        <w:drawing>
          <wp:anchor distT="0" distB="0" distL="114300" distR="114300" simplePos="0" relativeHeight="251659264" behindDoc="0" locked="0" layoutInCell="1" allowOverlap="1" wp14:anchorId="52F36960" wp14:editId="1B29AE4E">
            <wp:simplePos x="0" y="0"/>
            <wp:positionH relativeFrom="margin">
              <wp:posOffset>6126692</wp:posOffset>
            </wp:positionH>
            <wp:positionV relativeFrom="margin">
              <wp:posOffset>-250825</wp:posOffset>
            </wp:positionV>
            <wp:extent cx="975360" cy="975360"/>
            <wp:effectExtent l="0" t="0" r="2540" b="254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anchor>
        </w:drawing>
      </w:r>
      <w:r w:rsidR="00A22CB3" w:rsidRPr="00551035">
        <w:rPr>
          <w:rFonts w:asciiTheme="minorHAnsi" w:hAnsiTheme="minorHAnsi" w:cstheme="minorHAnsi"/>
          <w:b/>
          <w:color w:val="231F20"/>
          <w:sz w:val="32"/>
          <w:szCs w:val="24"/>
          <w:u w:val="single" w:color="231F20"/>
        </w:rPr>
        <w:t>Experts’ Opinions about DEET</w:t>
      </w:r>
    </w:p>
    <w:p w14:paraId="361B0059" w14:textId="77777777" w:rsidR="00857C15" w:rsidRPr="00551035" w:rsidRDefault="00A22CB3">
      <w:pPr>
        <w:pStyle w:val="BodyText"/>
        <w:spacing w:before="184"/>
        <w:ind w:left="792" w:right="1754"/>
        <w:rPr>
          <w:rFonts w:asciiTheme="minorHAnsi" w:hAnsiTheme="minorHAnsi" w:cstheme="minorHAnsi"/>
          <w:sz w:val="22"/>
          <w:szCs w:val="22"/>
        </w:rPr>
      </w:pPr>
      <w:r w:rsidRPr="00551035">
        <w:rPr>
          <w:rFonts w:asciiTheme="minorHAnsi" w:hAnsiTheme="minorHAnsi" w:cstheme="minorHAnsi"/>
          <w:sz w:val="22"/>
          <w:szCs w:val="22"/>
        </w:rPr>
        <w:t>“DEET has been shown to be an extremely safe and effective repellent and remains a very important option for consumers.”</w:t>
      </w:r>
    </w:p>
    <w:p w14:paraId="44E936FD" w14:textId="18EB1B5C" w:rsidR="00857C15" w:rsidRPr="00551035" w:rsidRDefault="00A22CB3" w:rsidP="006A6BA1">
      <w:pPr>
        <w:spacing w:line="200" w:lineRule="exact"/>
        <w:ind w:left="1512" w:right="693" w:hanging="1"/>
        <w:rPr>
          <w:rFonts w:asciiTheme="minorHAnsi" w:hAnsiTheme="minorHAnsi" w:cstheme="minorHAnsi"/>
        </w:rPr>
      </w:pPr>
      <w:r w:rsidRPr="00551035">
        <w:rPr>
          <w:rFonts w:asciiTheme="minorHAnsi" w:hAnsiTheme="minorHAnsi" w:cstheme="minorHAnsi"/>
        </w:rPr>
        <w:t>Lyle R. Petersen, M.D., M.P.H., director, U.S. Centers for Disease Control and Prevention (www.cdc.gov), Division of Vector-borne Infectious Diseases, April 28, 2005 teleconference</w:t>
      </w:r>
    </w:p>
    <w:p w14:paraId="41EF6DE3" w14:textId="77777777" w:rsidR="00857C15" w:rsidRPr="00551035" w:rsidRDefault="00857C15" w:rsidP="006A6BA1">
      <w:pPr>
        <w:pStyle w:val="BodyText"/>
        <w:spacing w:line="200" w:lineRule="exact"/>
        <w:rPr>
          <w:rFonts w:asciiTheme="minorHAnsi" w:hAnsiTheme="minorHAnsi" w:cstheme="minorHAnsi"/>
          <w:sz w:val="16"/>
          <w:szCs w:val="16"/>
        </w:rPr>
      </w:pPr>
    </w:p>
    <w:p w14:paraId="4CC20EE9" w14:textId="75A36874" w:rsidR="00857C15" w:rsidRPr="00551035" w:rsidRDefault="00A22CB3" w:rsidP="00321F1E">
      <w:pPr>
        <w:pStyle w:val="BodyText"/>
        <w:tabs>
          <w:tab w:val="left" w:leader="dot" w:pos="7290"/>
        </w:tabs>
        <w:ind w:left="792" w:right="693"/>
        <w:rPr>
          <w:rFonts w:asciiTheme="minorHAnsi" w:hAnsiTheme="minorHAnsi" w:cstheme="minorHAnsi"/>
          <w:sz w:val="22"/>
          <w:szCs w:val="22"/>
        </w:rPr>
      </w:pPr>
      <w:r w:rsidRPr="00551035">
        <w:rPr>
          <w:rFonts w:asciiTheme="minorHAnsi" w:hAnsiTheme="minorHAnsi" w:cstheme="minorHAnsi"/>
          <w:sz w:val="22"/>
          <w:szCs w:val="22"/>
        </w:rPr>
        <w:t>“Repellents containing DEET are very safe when used according to directions. In 2014, we completed an interim review of DEET under the Registration Review Program to ensure that it continues to meet safety standards based on current scientific knowledge. The Agency has not identified any risks of  concern to human health, non-target species or the environment</w:t>
      </w:r>
      <w:r w:rsidR="00321F1E" w:rsidRPr="00551035">
        <w:rPr>
          <w:rFonts w:asciiTheme="minorHAnsi" w:hAnsiTheme="minorHAnsi" w:cstheme="minorHAnsi"/>
          <w:sz w:val="22"/>
          <w:szCs w:val="22"/>
        </w:rPr>
        <w:t xml:space="preserve">. </w:t>
      </w:r>
      <w:r w:rsidRPr="00551035">
        <w:rPr>
          <w:rFonts w:asciiTheme="minorHAnsi" w:hAnsiTheme="minorHAnsi" w:cstheme="minorHAnsi"/>
          <w:sz w:val="22"/>
          <w:szCs w:val="22"/>
        </w:rPr>
        <w:t>No serious illness has been</w:t>
      </w:r>
      <w:r w:rsidR="00321F1E" w:rsidRPr="00551035">
        <w:rPr>
          <w:rFonts w:asciiTheme="minorHAnsi" w:hAnsiTheme="minorHAnsi" w:cstheme="minorHAnsi"/>
          <w:sz w:val="22"/>
          <w:szCs w:val="22"/>
        </w:rPr>
        <w:t xml:space="preserve"> </w:t>
      </w:r>
      <w:r w:rsidRPr="00551035">
        <w:rPr>
          <w:rFonts w:asciiTheme="minorHAnsi" w:hAnsiTheme="minorHAnsi" w:cstheme="minorHAnsi"/>
          <w:sz w:val="22"/>
          <w:szCs w:val="22"/>
        </w:rPr>
        <w:t>linked to use of DEET in children when used according to manufacturer’s recommendations.”</w:t>
      </w:r>
    </w:p>
    <w:p w14:paraId="4BC2E533" w14:textId="717CB983" w:rsidR="00857C15" w:rsidRPr="00551035" w:rsidRDefault="00A22CB3" w:rsidP="006A6BA1">
      <w:pPr>
        <w:spacing w:line="200" w:lineRule="exact"/>
        <w:ind w:left="1512" w:right="693" w:hanging="1"/>
        <w:rPr>
          <w:rFonts w:asciiTheme="minorHAnsi" w:hAnsiTheme="minorHAnsi" w:cstheme="minorHAnsi"/>
        </w:rPr>
      </w:pPr>
      <w:r w:rsidRPr="00551035">
        <w:rPr>
          <w:rFonts w:asciiTheme="minorHAnsi" w:hAnsiTheme="minorHAnsi" w:cstheme="minorHAnsi"/>
        </w:rPr>
        <w:t xml:space="preserve">“Insect Repellent Use &amp; Safety,” U.S. Environmental Protection </w:t>
      </w:r>
      <w:r w:rsidR="00933F2D">
        <w:rPr>
          <w:rFonts w:asciiTheme="minorHAnsi" w:hAnsiTheme="minorHAnsi" w:cstheme="minorHAnsi"/>
        </w:rPr>
        <w:t>A</w:t>
      </w:r>
      <w:r w:rsidRPr="00551035">
        <w:rPr>
          <w:rFonts w:asciiTheme="minorHAnsi" w:hAnsiTheme="minorHAnsi" w:cstheme="minorHAnsi"/>
        </w:rPr>
        <w:t xml:space="preserve">gency </w:t>
      </w:r>
      <w:r w:rsidR="00933F2D">
        <w:rPr>
          <w:rFonts w:asciiTheme="minorHAnsi" w:hAnsiTheme="minorHAnsi" w:cstheme="minorHAnsi"/>
        </w:rPr>
        <w:t>h</w:t>
      </w:r>
      <w:r w:rsidRPr="00551035">
        <w:rPr>
          <w:rFonts w:asciiTheme="minorHAnsi" w:hAnsiTheme="minorHAnsi" w:cstheme="minorHAnsi"/>
        </w:rPr>
        <w:t>ttps://</w:t>
      </w:r>
      <w:hyperlink r:id="rId5">
        <w:r w:rsidRPr="00551035">
          <w:rPr>
            <w:rFonts w:asciiTheme="minorHAnsi" w:hAnsiTheme="minorHAnsi" w:cstheme="minorHAnsi"/>
          </w:rPr>
          <w:t>www.epa.gov/insect-repellents/deet</w:t>
        </w:r>
      </w:hyperlink>
      <w:r w:rsidR="00933F2D">
        <w:rPr>
          <w:rFonts w:asciiTheme="minorHAnsi" w:hAnsiTheme="minorHAnsi" w:cstheme="minorHAnsi"/>
        </w:rPr>
        <w:t xml:space="preserve"> </w:t>
      </w:r>
    </w:p>
    <w:p w14:paraId="0EDFA63A" w14:textId="77777777" w:rsidR="00857C15" w:rsidRPr="00551035" w:rsidRDefault="00857C15">
      <w:pPr>
        <w:pStyle w:val="BodyText"/>
        <w:spacing w:before="6"/>
        <w:rPr>
          <w:rFonts w:asciiTheme="minorHAnsi" w:hAnsiTheme="minorHAnsi" w:cstheme="minorHAnsi"/>
          <w:sz w:val="16"/>
          <w:szCs w:val="16"/>
        </w:rPr>
      </w:pPr>
    </w:p>
    <w:p w14:paraId="34F8CA99" w14:textId="058B2FBE" w:rsidR="00857C15" w:rsidRPr="00551035" w:rsidRDefault="00A22CB3">
      <w:pPr>
        <w:pStyle w:val="BodyText"/>
        <w:ind w:left="792" w:right="693" w:firstLine="44"/>
        <w:rPr>
          <w:rFonts w:asciiTheme="minorHAnsi" w:hAnsiTheme="minorHAnsi" w:cstheme="minorHAnsi"/>
          <w:sz w:val="22"/>
          <w:szCs w:val="22"/>
        </w:rPr>
      </w:pPr>
      <w:r w:rsidRPr="00551035">
        <w:rPr>
          <w:rFonts w:asciiTheme="minorHAnsi" w:hAnsiTheme="minorHAnsi" w:cstheme="minorHAnsi"/>
          <w:sz w:val="22"/>
          <w:szCs w:val="22"/>
        </w:rPr>
        <w:t>“The current AAP and CDC recommendation for children older than 2 months of age is to use 10% to 30% DEET. DEET should not be used on children younger than 2 months of age. The effectiveness is similar for 10% to 30% DEET but the duration of effect varies. Ten percent DEET provides protection for about 2 hours, and 30% protects for about 5 hours. Choose the lowest concentration that will provide the required length of protection.”</w:t>
      </w:r>
    </w:p>
    <w:p w14:paraId="41A8DFB3" w14:textId="1EBE15D1" w:rsidR="00857C15" w:rsidRPr="00551035" w:rsidRDefault="00A22CB3" w:rsidP="006A6BA1">
      <w:pPr>
        <w:spacing w:line="200" w:lineRule="exact"/>
        <w:ind w:left="1512" w:right="693" w:hanging="1"/>
        <w:rPr>
          <w:rFonts w:asciiTheme="minorHAnsi" w:hAnsiTheme="minorHAnsi" w:cstheme="minorHAnsi"/>
        </w:rPr>
      </w:pPr>
      <w:r w:rsidRPr="00551035">
        <w:rPr>
          <w:rFonts w:asciiTheme="minorHAnsi" w:hAnsiTheme="minorHAnsi" w:cstheme="minorHAnsi"/>
        </w:rPr>
        <w:t>American Academy of Pediatrics, “Summer Safety Tips,” June 19, 2017 (www.aap.org) https://</w:t>
      </w:r>
      <w:hyperlink r:id="rId6">
        <w:r w:rsidRPr="00551035">
          <w:rPr>
            <w:rFonts w:asciiTheme="minorHAnsi" w:hAnsiTheme="minorHAnsi" w:cstheme="minorHAnsi"/>
          </w:rPr>
          <w:t>www.aap.org/en-us/about-the-aap/aap-press-room/news-features-and-safety-tips/Pages/Summer-</w:t>
        </w:r>
      </w:hyperlink>
      <w:r w:rsidRPr="00551035">
        <w:rPr>
          <w:rFonts w:asciiTheme="minorHAnsi" w:hAnsiTheme="minorHAnsi" w:cstheme="minorHAnsi"/>
        </w:rPr>
        <w:t>Safety-Tips.aspx</w:t>
      </w:r>
    </w:p>
    <w:p w14:paraId="069AA96D" w14:textId="77777777" w:rsidR="00857C15" w:rsidRPr="00551035" w:rsidRDefault="00857C15">
      <w:pPr>
        <w:pStyle w:val="BodyText"/>
        <w:spacing w:before="2"/>
        <w:rPr>
          <w:rFonts w:asciiTheme="minorHAnsi" w:hAnsiTheme="minorHAnsi" w:cstheme="minorHAnsi"/>
          <w:sz w:val="16"/>
          <w:szCs w:val="16"/>
          <w:vertAlign w:val="subscript"/>
        </w:rPr>
      </w:pPr>
    </w:p>
    <w:p w14:paraId="76627470" w14:textId="77777777" w:rsidR="00857C15" w:rsidRPr="00551035" w:rsidRDefault="00A22CB3">
      <w:pPr>
        <w:pStyle w:val="BodyText"/>
        <w:ind w:left="792" w:right="693" w:firstLine="44"/>
        <w:rPr>
          <w:rFonts w:asciiTheme="minorHAnsi" w:hAnsiTheme="minorHAnsi" w:cstheme="minorHAnsi"/>
          <w:sz w:val="22"/>
          <w:szCs w:val="22"/>
        </w:rPr>
      </w:pPr>
      <w:r w:rsidRPr="00551035">
        <w:rPr>
          <w:rFonts w:asciiTheme="minorHAnsi" w:hAnsiTheme="minorHAnsi" w:cstheme="minorHAnsi"/>
          <w:sz w:val="22"/>
          <w:szCs w:val="22"/>
        </w:rPr>
        <w:t>“DEET has a remarkable safety profile after 40 years of use and nearly 8 billion human applications. When applied with common sense, DEET-based repellents can be expected to provide a safe as well as long-lasting repellent effect. Despite the substantial attention paid by the lay press every year to the safety of DEET, this repellent has been subjected to more scientific and toxicological scrutiny than any other repellent substance."</w:t>
      </w:r>
    </w:p>
    <w:p w14:paraId="3A19F595" w14:textId="77777777" w:rsidR="00857C15" w:rsidRPr="00551035" w:rsidRDefault="00A22CB3" w:rsidP="00281257">
      <w:pPr>
        <w:spacing w:line="200" w:lineRule="exact"/>
        <w:ind w:left="1512" w:right="693" w:hanging="1"/>
        <w:rPr>
          <w:rFonts w:asciiTheme="minorHAnsi" w:hAnsiTheme="minorHAnsi" w:cstheme="minorHAnsi"/>
        </w:rPr>
      </w:pPr>
      <w:r w:rsidRPr="00551035">
        <w:rPr>
          <w:rFonts w:asciiTheme="minorHAnsi" w:hAnsiTheme="minorHAnsi" w:cstheme="minorHAnsi"/>
        </w:rPr>
        <w:t xml:space="preserve">Mark S. Fradin, M.D., and Jonathan F. Day, Ph.D., </w:t>
      </w:r>
      <w:r w:rsidRPr="00C44FDC">
        <w:rPr>
          <w:rFonts w:asciiTheme="minorHAnsi" w:hAnsiTheme="minorHAnsi" w:cstheme="minorHAnsi"/>
          <w:i/>
          <w:iCs/>
        </w:rPr>
        <w:t>New England Journal of Medicine</w:t>
      </w:r>
      <w:r w:rsidRPr="00551035">
        <w:rPr>
          <w:rFonts w:asciiTheme="minorHAnsi" w:hAnsiTheme="minorHAnsi" w:cstheme="minorHAnsi"/>
        </w:rPr>
        <w:t xml:space="preserve">, 2002 </w:t>
      </w:r>
      <w:hyperlink r:id="rId7">
        <w:r w:rsidRPr="00551035">
          <w:rPr>
            <w:rFonts w:asciiTheme="minorHAnsi" w:hAnsiTheme="minorHAnsi" w:cstheme="minorHAnsi"/>
          </w:rPr>
          <w:t>http://www.nejm.org/doi/pdf/10.1056/NEJMoa011699</w:t>
        </w:r>
      </w:hyperlink>
    </w:p>
    <w:p w14:paraId="10EF2994" w14:textId="77777777" w:rsidR="00857C15" w:rsidRPr="00551035" w:rsidRDefault="00857C15">
      <w:pPr>
        <w:pStyle w:val="BodyText"/>
        <w:spacing w:before="6"/>
        <w:rPr>
          <w:rFonts w:asciiTheme="minorHAnsi" w:hAnsiTheme="minorHAnsi" w:cstheme="minorHAnsi"/>
          <w:sz w:val="16"/>
          <w:szCs w:val="16"/>
        </w:rPr>
      </w:pPr>
    </w:p>
    <w:p w14:paraId="421ABB14" w14:textId="77777777" w:rsidR="00857C15" w:rsidRPr="00551035" w:rsidRDefault="00A22CB3">
      <w:pPr>
        <w:pStyle w:val="BodyText"/>
        <w:spacing w:before="1"/>
        <w:ind w:left="792" w:right="942"/>
        <w:rPr>
          <w:rFonts w:asciiTheme="minorHAnsi" w:hAnsiTheme="minorHAnsi" w:cstheme="minorHAnsi"/>
          <w:sz w:val="22"/>
          <w:szCs w:val="22"/>
        </w:rPr>
      </w:pPr>
      <w:r w:rsidRPr="00551035">
        <w:rPr>
          <w:rFonts w:asciiTheme="minorHAnsi" w:hAnsiTheme="minorHAnsi" w:cstheme="minorHAnsi"/>
          <w:sz w:val="22"/>
          <w:szCs w:val="22"/>
        </w:rPr>
        <w:t>“Reports of adverse effects in humans associated with the dermal application of DEET are rare in the context of their widespread use by the general population.”</w:t>
      </w:r>
    </w:p>
    <w:p w14:paraId="1687BD78" w14:textId="77777777" w:rsidR="00857C15" w:rsidRPr="00551035" w:rsidRDefault="00A22CB3" w:rsidP="00933F2D">
      <w:pPr>
        <w:spacing w:before="26"/>
        <w:ind w:left="1620"/>
        <w:rPr>
          <w:rFonts w:asciiTheme="minorHAnsi" w:hAnsiTheme="minorHAnsi" w:cstheme="minorHAnsi"/>
        </w:rPr>
      </w:pPr>
      <w:r w:rsidRPr="00551035">
        <w:rPr>
          <w:rFonts w:asciiTheme="minorHAnsi" w:hAnsiTheme="minorHAnsi" w:cstheme="minorHAnsi"/>
        </w:rPr>
        <w:t xml:space="preserve">Daniel L. Sudakin, M.D., M.P.H., and Wade R. Trevathan, </w:t>
      </w:r>
      <w:r w:rsidRPr="00551035">
        <w:rPr>
          <w:rFonts w:asciiTheme="minorHAnsi" w:hAnsiTheme="minorHAnsi" w:cstheme="minorHAnsi"/>
          <w:i/>
          <w:iCs/>
        </w:rPr>
        <w:t>Journal of Toxicology</w:t>
      </w:r>
      <w:r w:rsidRPr="00551035">
        <w:rPr>
          <w:rFonts w:asciiTheme="minorHAnsi" w:hAnsiTheme="minorHAnsi" w:cstheme="minorHAnsi"/>
        </w:rPr>
        <w:t>, 2003</w:t>
      </w:r>
    </w:p>
    <w:p w14:paraId="707C57D8" w14:textId="77777777" w:rsidR="00857C15" w:rsidRPr="00551035" w:rsidRDefault="00857C15">
      <w:pPr>
        <w:pStyle w:val="BodyText"/>
        <w:spacing w:before="8"/>
        <w:rPr>
          <w:rFonts w:asciiTheme="minorHAnsi" w:hAnsiTheme="minorHAnsi" w:cstheme="minorHAnsi"/>
          <w:sz w:val="16"/>
          <w:szCs w:val="16"/>
        </w:rPr>
      </w:pPr>
    </w:p>
    <w:p w14:paraId="6D42DC99" w14:textId="77777777" w:rsidR="00857C15" w:rsidRPr="00551035" w:rsidRDefault="00A22CB3">
      <w:pPr>
        <w:pStyle w:val="BodyText"/>
        <w:ind w:left="792"/>
        <w:rPr>
          <w:rFonts w:asciiTheme="minorHAnsi" w:hAnsiTheme="minorHAnsi" w:cstheme="minorHAnsi"/>
          <w:sz w:val="22"/>
          <w:szCs w:val="22"/>
        </w:rPr>
      </w:pPr>
      <w:r w:rsidRPr="00551035">
        <w:rPr>
          <w:rFonts w:asciiTheme="minorHAnsi" w:hAnsiTheme="minorHAnsi" w:cstheme="minorHAnsi"/>
          <w:sz w:val="22"/>
          <w:szCs w:val="22"/>
        </w:rPr>
        <w:t>“Part of our confidence in the safety of DEET is…on the extreme rarity of negative effects from its application.”</w:t>
      </w:r>
    </w:p>
    <w:p w14:paraId="3915BF69" w14:textId="77777777" w:rsidR="00857C15" w:rsidRPr="00551035" w:rsidRDefault="00A22CB3" w:rsidP="00281257">
      <w:pPr>
        <w:spacing w:line="200" w:lineRule="exact"/>
        <w:ind w:left="1512" w:right="693" w:hanging="1"/>
        <w:rPr>
          <w:rFonts w:asciiTheme="minorHAnsi" w:hAnsiTheme="minorHAnsi" w:cstheme="minorHAnsi"/>
        </w:rPr>
      </w:pPr>
      <w:r w:rsidRPr="00551035">
        <w:rPr>
          <w:rFonts w:asciiTheme="minorHAnsi" w:hAnsiTheme="minorHAnsi" w:cstheme="minorHAnsi"/>
        </w:rPr>
        <w:t>Daniel Strickman Ph.D., Stephen P. Frances, Ph.D., and Mustapha Debboun, Ph.D., BCE,</w:t>
      </w:r>
    </w:p>
    <w:p w14:paraId="125CF34B" w14:textId="77777777" w:rsidR="00857C15" w:rsidRPr="00551035" w:rsidRDefault="00A22CB3" w:rsidP="00281257">
      <w:pPr>
        <w:spacing w:line="200" w:lineRule="exact"/>
        <w:ind w:left="1512" w:right="693" w:hanging="1"/>
        <w:rPr>
          <w:rFonts w:asciiTheme="minorHAnsi" w:hAnsiTheme="minorHAnsi" w:cstheme="minorHAnsi"/>
        </w:rPr>
      </w:pPr>
      <w:r w:rsidRPr="00C44FDC">
        <w:rPr>
          <w:rFonts w:asciiTheme="minorHAnsi" w:hAnsiTheme="minorHAnsi" w:cstheme="minorHAnsi"/>
          <w:i/>
          <w:iCs/>
        </w:rPr>
        <w:t>Prevention of Bug Bites, Stings and Disease</w:t>
      </w:r>
      <w:r w:rsidRPr="00551035">
        <w:rPr>
          <w:rFonts w:asciiTheme="minorHAnsi" w:hAnsiTheme="minorHAnsi" w:cstheme="minorHAnsi"/>
        </w:rPr>
        <w:t>, Oxford Press, 2009.</w:t>
      </w:r>
    </w:p>
    <w:p w14:paraId="12EE370D" w14:textId="77777777" w:rsidR="00857C15" w:rsidRPr="00551035" w:rsidRDefault="00857C15">
      <w:pPr>
        <w:pStyle w:val="BodyText"/>
        <w:spacing w:before="6"/>
        <w:rPr>
          <w:rFonts w:asciiTheme="minorHAnsi" w:hAnsiTheme="minorHAnsi" w:cstheme="minorHAnsi"/>
          <w:sz w:val="16"/>
          <w:szCs w:val="16"/>
        </w:rPr>
      </w:pPr>
    </w:p>
    <w:p w14:paraId="57C2A70B" w14:textId="77777777" w:rsidR="00857C15" w:rsidRPr="00551035" w:rsidRDefault="00A22CB3">
      <w:pPr>
        <w:pStyle w:val="BodyText"/>
        <w:spacing w:before="1"/>
        <w:ind w:left="792" w:right="794" w:hanging="1"/>
        <w:rPr>
          <w:rFonts w:asciiTheme="minorHAnsi" w:hAnsiTheme="minorHAnsi" w:cstheme="minorHAnsi"/>
          <w:sz w:val="22"/>
          <w:szCs w:val="22"/>
        </w:rPr>
      </w:pPr>
      <w:r w:rsidRPr="00551035">
        <w:rPr>
          <w:rFonts w:asciiTheme="minorHAnsi" w:hAnsiTheme="minorHAnsi" w:cstheme="minorHAnsi"/>
          <w:sz w:val="22"/>
          <w:szCs w:val="22"/>
        </w:rPr>
        <w:t>“DEET is far less toxic than many people believe. Adverse effects, though documented, are infrequent and are generally associated with gross overuse of the product. The risk of DEET-related adverse effects pales in comparison with the risk of acquiring vector-borne infection in places where such diseases are endemic. … Alternative ‘natural’ products generally fail to live up to their reputations for greater safety and effectiveness and offer their users a false sense of security. As Fradin and Day nicely demonstrate, we currently have access to effective insect repellents that are safe when used judiciously.”</w:t>
      </w:r>
    </w:p>
    <w:p w14:paraId="618F291C" w14:textId="6B15D21A" w:rsidR="00857C15" w:rsidRPr="00551035" w:rsidRDefault="00A22CB3" w:rsidP="00281257">
      <w:pPr>
        <w:spacing w:line="200" w:lineRule="exact"/>
        <w:ind w:left="1512" w:right="693" w:hanging="1"/>
        <w:rPr>
          <w:rFonts w:asciiTheme="minorHAnsi" w:hAnsiTheme="minorHAnsi" w:cstheme="minorHAnsi"/>
        </w:rPr>
      </w:pPr>
      <w:r w:rsidRPr="00551035">
        <w:rPr>
          <w:rFonts w:asciiTheme="minorHAnsi" w:hAnsiTheme="minorHAnsi" w:cstheme="minorHAnsi"/>
        </w:rPr>
        <w:t xml:space="preserve">Richard J. Pollack, Ph.D., et al, Harvard School of Public Health, </w:t>
      </w:r>
      <w:r w:rsidRPr="00281257">
        <w:rPr>
          <w:rFonts w:asciiTheme="minorHAnsi" w:hAnsiTheme="minorHAnsi" w:cstheme="minorHAnsi"/>
          <w:i/>
          <w:iCs/>
        </w:rPr>
        <w:t>New England Journal of Medicine</w:t>
      </w:r>
      <w:r w:rsidRPr="00551035">
        <w:rPr>
          <w:rFonts w:asciiTheme="minorHAnsi" w:hAnsiTheme="minorHAnsi" w:cstheme="minorHAnsi"/>
        </w:rPr>
        <w:t xml:space="preserve">, 2002 </w:t>
      </w:r>
      <w:hyperlink r:id="rId8" w:history="1">
        <w:r w:rsidR="00387D0B" w:rsidRPr="00551035">
          <w:rPr>
            <w:rFonts w:asciiTheme="minorHAnsi" w:hAnsiTheme="minorHAnsi" w:cstheme="minorHAnsi"/>
          </w:rPr>
          <w:t>www.nejm.org/doi/full/10.1056/NEJM200207043470102</w:t>
        </w:r>
      </w:hyperlink>
    </w:p>
    <w:p w14:paraId="17F31B52" w14:textId="77777777" w:rsidR="00857C15" w:rsidRPr="00281257" w:rsidRDefault="00857C15" w:rsidP="00281257">
      <w:pPr>
        <w:spacing w:line="200" w:lineRule="exact"/>
        <w:ind w:left="1512" w:right="693" w:hanging="1"/>
        <w:rPr>
          <w:rFonts w:asciiTheme="minorHAnsi" w:hAnsiTheme="minorHAnsi" w:cstheme="minorHAnsi"/>
        </w:rPr>
      </w:pPr>
    </w:p>
    <w:p w14:paraId="449FC246" w14:textId="2A1EAE48" w:rsidR="00857C15" w:rsidRPr="00551035" w:rsidRDefault="00933F2D">
      <w:pPr>
        <w:pStyle w:val="BodyText"/>
        <w:spacing w:line="223" w:lineRule="auto"/>
        <w:ind w:left="772" w:right="693"/>
        <w:rPr>
          <w:rFonts w:asciiTheme="minorHAnsi" w:hAnsiTheme="minorHAnsi" w:cstheme="minorHAnsi"/>
          <w:sz w:val="22"/>
          <w:szCs w:val="22"/>
        </w:rPr>
      </w:pPr>
      <w:r>
        <w:rPr>
          <w:rFonts w:asciiTheme="minorHAnsi" w:hAnsiTheme="minorHAnsi" w:cstheme="minorHAnsi"/>
          <w:sz w:val="22"/>
          <w:szCs w:val="22"/>
        </w:rPr>
        <w:t>“</w:t>
      </w:r>
      <w:r w:rsidR="00A22CB3" w:rsidRPr="00551035">
        <w:rPr>
          <w:rFonts w:asciiTheme="minorHAnsi" w:hAnsiTheme="minorHAnsi" w:cstheme="minorHAnsi"/>
          <w:sz w:val="22"/>
          <w:szCs w:val="22"/>
        </w:rPr>
        <w:t>…DEET has been used for 50 years with a tiny number of reported adverse events, many of which had a history of excessive or inappropriate use of repellent. …Its toxicology has been more closely scrutinized than any other repellent, but it has been deemed safe for human use, including use on children and pregnant women.”</w:t>
      </w:r>
    </w:p>
    <w:p w14:paraId="3FECD398" w14:textId="4E0DF658" w:rsidR="00857C15" w:rsidRPr="00551035" w:rsidRDefault="00A22CB3" w:rsidP="00AD23DE">
      <w:pPr>
        <w:spacing w:line="200" w:lineRule="exact"/>
        <w:ind w:left="1512" w:right="693" w:hanging="1"/>
        <w:rPr>
          <w:rFonts w:asciiTheme="minorHAnsi" w:hAnsiTheme="minorHAnsi" w:cstheme="minorHAnsi"/>
        </w:rPr>
      </w:pPr>
      <w:r w:rsidRPr="00551035">
        <w:rPr>
          <w:rFonts w:asciiTheme="minorHAnsi" w:hAnsiTheme="minorHAnsi" w:cstheme="minorHAnsi"/>
        </w:rPr>
        <w:t>Mustapha Debboun, Ph.D., BCE; Stephen P. Frances, Ph.D., and Daniel Strickman Ph.D</w:t>
      </w:r>
      <w:r w:rsidRPr="005866EF">
        <w:rPr>
          <w:rFonts w:asciiTheme="minorHAnsi" w:hAnsiTheme="minorHAnsi" w:cstheme="minorHAnsi"/>
          <w:i/>
          <w:iCs/>
        </w:rPr>
        <w:t>.,</w:t>
      </w:r>
      <w:r w:rsidR="008B4348" w:rsidRPr="005866EF">
        <w:rPr>
          <w:rFonts w:asciiTheme="minorHAnsi" w:hAnsiTheme="minorHAnsi" w:cstheme="minorHAnsi"/>
          <w:i/>
          <w:iCs/>
        </w:rPr>
        <w:t xml:space="preserve"> </w:t>
      </w:r>
      <w:r w:rsidRPr="005866EF">
        <w:rPr>
          <w:rFonts w:asciiTheme="minorHAnsi" w:hAnsiTheme="minorHAnsi" w:cstheme="minorHAnsi"/>
          <w:i/>
          <w:iCs/>
        </w:rPr>
        <w:t>Insect Repellents—Principles, Methods and Uses</w:t>
      </w:r>
      <w:r w:rsidRPr="00551035">
        <w:rPr>
          <w:rFonts w:asciiTheme="minorHAnsi" w:hAnsiTheme="minorHAnsi" w:cstheme="minorHAnsi"/>
        </w:rPr>
        <w:t>, CRC Press,</w:t>
      </w:r>
      <w:r w:rsidR="00933F2D">
        <w:rPr>
          <w:rFonts w:asciiTheme="minorHAnsi" w:hAnsiTheme="minorHAnsi" w:cstheme="minorHAnsi"/>
        </w:rPr>
        <w:t xml:space="preserve"> </w:t>
      </w:r>
      <w:r w:rsidRPr="00551035">
        <w:rPr>
          <w:rFonts w:asciiTheme="minorHAnsi" w:hAnsiTheme="minorHAnsi" w:cstheme="minorHAnsi"/>
        </w:rPr>
        <w:t>2007</w:t>
      </w:r>
    </w:p>
    <w:p w14:paraId="7B7E31BA" w14:textId="77777777" w:rsidR="00857C15" w:rsidRPr="00551035" w:rsidRDefault="00857C15">
      <w:pPr>
        <w:pStyle w:val="BodyText"/>
        <w:spacing w:before="7"/>
        <w:rPr>
          <w:rFonts w:asciiTheme="minorHAnsi" w:hAnsiTheme="minorHAnsi" w:cstheme="minorHAnsi"/>
          <w:sz w:val="16"/>
          <w:szCs w:val="16"/>
        </w:rPr>
      </w:pPr>
    </w:p>
    <w:p w14:paraId="33469FA9" w14:textId="77777777" w:rsidR="00857C15" w:rsidRPr="00551035" w:rsidRDefault="00A22CB3">
      <w:pPr>
        <w:pStyle w:val="BodyText"/>
        <w:spacing w:before="1" w:line="223" w:lineRule="auto"/>
        <w:ind w:left="772" w:right="942"/>
        <w:rPr>
          <w:rFonts w:asciiTheme="minorHAnsi" w:hAnsiTheme="minorHAnsi" w:cstheme="minorHAnsi"/>
          <w:sz w:val="22"/>
          <w:szCs w:val="22"/>
        </w:rPr>
      </w:pPr>
      <w:r w:rsidRPr="00551035">
        <w:rPr>
          <w:rFonts w:asciiTheme="minorHAnsi" w:hAnsiTheme="minorHAnsi" w:cstheme="minorHAnsi"/>
          <w:sz w:val="22"/>
          <w:szCs w:val="22"/>
        </w:rPr>
        <w:t>“The preferred insect repellant is DEET because of its long history of safety and efficacy and wide range of concentrations and formulations. All other non–CDC-recommended insect repellants should be avoided because they may not adequately protect against aggressive, biting mosquitoes encountered around the world.”</w:t>
      </w:r>
    </w:p>
    <w:p w14:paraId="3767F03C" w14:textId="08847AAC" w:rsidR="00857C15" w:rsidRPr="00551035" w:rsidRDefault="00321F1E" w:rsidP="00AD23DE">
      <w:pPr>
        <w:spacing w:line="200" w:lineRule="exact"/>
        <w:ind w:left="1512" w:right="693" w:hanging="1"/>
        <w:rPr>
          <w:rFonts w:asciiTheme="minorHAnsi" w:hAnsiTheme="minorHAnsi" w:cstheme="minorHAnsi"/>
        </w:rPr>
      </w:pPr>
      <w:r w:rsidRPr="00551035">
        <w:rPr>
          <w:rFonts w:asciiTheme="minorHAnsi" w:hAnsiTheme="minorHAnsi" w:cstheme="minorHAnsi"/>
        </w:rPr>
        <w:t>Mirzaian, et al Mosquito-borne Illnesses in Travelers: A Review of Risk and Prevention</w:t>
      </w:r>
      <w:r w:rsidRPr="00AD23DE">
        <w:rPr>
          <w:rFonts w:asciiTheme="minorHAnsi" w:hAnsiTheme="minorHAnsi" w:cstheme="minorHAnsi"/>
        </w:rPr>
        <w:t xml:space="preserve">, </w:t>
      </w:r>
      <w:r w:rsidR="00A22CB3" w:rsidRPr="005866EF">
        <w:rPr>
          <w:rFonts w:asciiTheme="minorHAnsi" w:hAnsiTheme="minorHAnsi" w:cstheme="minorHAnsi"/>
          <w:i/>
          <w:iCs/>
        </w:rPr>
        <w:t>Journal of Pharmacotherapy</w:t>
      </w:r>
      <w:r w:rsidR="00A22CB3" w:rsidRPr="00551035">
        <w:rPr>
          <w:rFonts w:asciiTheme="minorHAnsi" w:hAnsiTheme="minorHAnsi" w:cstheme="minorHAnsi"/>
        </w:rPr>
        <w:t xml:space="preserve">. 2010;30(10):1031-1043 </w:t>
      </w:r>
    </w:p>
    <w:p w14:paraId="2977FF78" w14:textId="77777777" w:rsidR="00857C15" w:rsidRPr="00551035" w:rsidRDefault="00857C15">
      <w:pPr>
        <w:pStyle w:val="BodyText"/>
        <w:spacing w:before="9"/>
        <w:rPr>
          <w:rFonts w:asciiTheme="minorHAnsi" w:hAnsiTheme="minorHAnsi" w:cstheme="minorHAnsi"/>
          <w:sz w:val="16"/>
          <w:szCs w:val="16"/>
        </w:rPr>
      </w:pPr>
    </w:p>
    <w:p w14:paraId="7B9077FB" w14:textId="77777777" w:rsidR="00857C15" w:rsidRPr="00551035" w:rsidRDefault="00A22CB3">
      <w:pPr>
        <w:pStyle w:val="BodyText"/>
        <w:spacing w:line="223" w:lineRule="auto"/>
        <w:ind w:left="772" w:right="1166"/>
        <w:rPr>
          <w:rFonts w:asciiTheme="minorHAnsi" w:hAnsiTheme="minorHAnsi" w:cstheme="minorHAnsi"/>
          <w:sz w:val="22"/>
          <w:szCs w:val="22"/>
        </w:rPr>
      </w:pPr>
      <w:r w:rsidRPr="00551035">
        <w:rPr>
          <w:rFonts w:asciiTheme="minorHAnsi" w:hAnsiTheme="minorHAnsi" w:cstheme="minorHAnsi"/>
          <w:sz w:val="22"/>
          <w:szCs w:val="22"/>
        </w:rPr>
        <w:t>“The surprising news: among the four repellent chemicals Environmental Working Group found to be top picks is DEET, which is widely used but much maligned. DEET’s safety profile is better than many people assume. Its effectiveness at preventing bites is approached by only a few other repellent ingredients. DEET isn’t a perfect choice nor the only choice. But weighed against the consequences of Lyme disease and West Nile virus, we believe it is a reasonable one.”</w:t>
      </w:r>
    </w:p>
    <w:p w14:paraId="7057CCC5" w14:textId="77777777" w:rsidR="00857C15" w:rsidRPr="00551035" w:rsidRDefault="00A22CB3" w:rsidP="00AD23DE">
      <w:pPr>
        <w:spacing w:line="200" w:lineRule="exact"/>
        <w:ind w:left="1512" w:right="693" w:hanging="1"/>
        <w:rPr>
          <w:rFonts w:asciiTheme="minorHAnsi" w:hAnsiTheme="minorHAnsi" w:cstheme="minorHAnsi"/>
        </w:rPr>
      </w:pPr>
      <w:r w:rsidRPr="00551035">
        <w:rPr>
          <w:rFonts w:asciiTheme="minorHAnsi" w:hAnsiTheme="minorHAnsi" w:cstheme="minorHAnsi"/>
        </w:rPr>
        <w:t>Environmental Working Group 2013</w:t>
      </w:r>
    </w:p>
    <w:p w14:paraId="735793AE" w14:textId="77777777" w:rsidR="00857C15" w:rsidRPr="00551035" w:rsidRDefault="00A22CB3" w:rsidP="00AD23DE">
      <w:pPr>
        <w:spacing w:line="200" w:lineRule="exact"/>
        <w:ind w:left="1512" w:right="693" w:hanging="1"/>
        <w:rPr>
          <w:rFonts w:asciiTheme="minorHAnsi" w:hAnsiTheme="minorHAnsi" w:cstheme="minorHAnsi"/>
        </w:rPr>
      </w:pPr>
      <w:r w:rsidRPr="00551035">
        <w:rPr>
          <w:rFonts w:asciiTheme="minorHAnsi" w:hAnsiTheme="minorHAnsi" w:cstheme="minorHAnsi"/>
        </w:rPr>
        <w:t>https://</w:t>
      </w:r>
      <w:hyperlink r:id="rId9" w:anchor=".WqWVA02Wy74">
        <w:r w:rsidRPr="00551035">
          <w:rPr>
            <w:rFonts w:asciiTheme="minorHAnsi" w:hAnsiTheme="minorHAnsi" w:cstheme="minorHAnsi"/>
          </w:rPr>
          <w:t>www.ewg.org/research/ewgs-guide-bug-repellents#.WqWVA02Wy74</w:t>
        </w:r>
      </w:hyperlink>
    </w:p>
    <w:p w14:paraId="01C96CA1" w14:textId="17302B92" w:rsidR="00857C15" w:rsidRPr="00551035" w:rsidRDefault="008B4348" w:rsidP="008B4348">
      <w:pPr>
        <w:pStyle w:val="BodyText"/>
        <w:tabs>
          <w:tab w:val="left" w:pos="1024"/>
        </w:tabs>
        <w:spacing w:before="1"/>
        <w:rPr>
          <w:rFonts w:asciiTheme="minorHAnsi" w:hAnsiTheme="minorHAnsi" w:cstheme="minorHAnsi"/>
          <w:sz w:val="16"/>
          <w:szCs w:val="16"/>
        </w:rPr>
      </w:pPr>
      <w:r w:rsidRPr="00551035">
        <w:rPr>
          <w:rFonts w:asciiTheme="minorHAnsi" w:hAnsiTheme="minorHAnsi" w:cstheme="minorHAnsi"/>
          <w:sz w:val="22"/>
          <w:szCs w:val="22"/>
        </w:rPr>
        <w:tab/>
      </w:r>
    </w:p>
    <w:p w14:paraId="27591E0D" w14:textId="77777777" w:rsidR="00857C15" w:rsidRPr="00551035" w:rsidRDefault="00A22CB3">
      <w:pPr>
        <w:pStyle w:val="BodyText"/>
        <w:spacing w:before="1" w:line="223" w:lineRule="auto"/>
        <w:ind w:left="772" w:right="1154"/>
        <w:rPr>
          <w:rFonts w:asciiTheme="minorHAnsi" w:hAnsiTheme="minorHAnsi" w:cstheme="minorHAnsi"/>
          <w:sz w:val="22"/>
          <w:szCs w:val="22"/>
        </w:rPr>
      </w:pPr>
      <w:r w:rsidRPr="00551035">
        <w:rPr>
          <w:rFonts w:asciiTheme="minorHAnsi" w:hAnsiTheme="minorHAnsi" w:cstheme="minorHAnsi"/>
          <w:sz w:val="22"/>
          <w:szCs w:val="22"/>
        </w:rPr>
        <w:t>“Based on testing data, EWG’s top choices for repellents include those that contain the active ingredients picaridin, DEET and IR3535 for protection from a variety of biting insects and ticks. And all three have good safety profiles. Many people are concerned about the possible drawbacks of common active ingredients like DEET. EWG researchers have analyzed the science in depth and found that, with proper application and precaution, our recommended active ingredients effectively reduce risk from life-altering diseases and have very low toxicity concerns.”</w:t>
      </w:r>
    </w:p>
    <w:p w14:paraId="5B75E1D7" w14:textId="4C8DDE11" w:rsidR="00857C15" w:rsidRPr="00551035" w:rsidRDefault="00A22CB3" w:rsidP="006E0D54">
      <w:pPr>
        <w:spacing w:line="200" w:lineRule="exact"/>
        <w:ind w:left="1512" w:right="693" w:hanging="1"/>
        <w:rPr>
          <w:rFonts w:asciiTheme="minorHAnsi" w:hAnsiTheme="minorHAnsi" w:cstheme="minorHAnsi"/>
        </w:rPr>
      </w:pPr>
      <w:r w:rsidRPr="00551035">
        <w:rPr>
          <w:rFonts w:asciiTheme="minorHAnsi" w:hAnsiTheme="minorHAnsi" w:cstheme="minorHAnsi"/>
        </w:rPr>
        <w:t>Environmental Working Group EWG.org EWG’s 2018 Guide to Bug Repellents Can Help Fend oﬀ Disease-Carrying Ticks, Mosquitoes July 17, 2018 https://</w:t>
      </w:r>
      <w:hyperlink r:id="rId10">
        <w:r w:rsidRPr="00551035">
          <w:rPr>
            <w:rFonts w:asciiTheme="minorHAnsi" w:hAnsiTheme="minorHAnsi" w:cstheme="minorHAnsi"/>
          </w:rPr>
          <w:t>www.ewg.org/release/ewg-s-2018-guide-bug-repellents-can-help-fend-disease-</w:t>
        </w:r>
      </w:hyperlink>
      <w:r w:rsidR="008D629C" w:rsidRPr="00551035">
        <w:rPr>
          <w:rFonts w:asciiTheme="minorHAnsi" w:hAnsiTheme="minorHAnsi" w:cstheme="minorHAnsi"/>
          <w:noProof/>
        </w:rPr>
        <mc:AlternateContent>
          <mc:Choice Requires="wps">
            <w:drawing>
              <wp:anchor distT="0" distB="0" distL="114300" distR="114300" simplePos="0" relativeHeight="1048" behindDoc="0" locked="0" layoutInCell="1" allowOverlap="1" wp14:anchorId="716B7DB8" wp14:editId="6AB1A71C">
                <wp:simplePos x="0" y="0"/>
                <wp:positionH relativeFrom="page">
                  <wp:posOffset>3551555</wp:posOffset>
                </wp:positionH>
                <wp:positionV relativeFrom="paragraph">
                  <wp:posOffset>140335</wp:posOffset>
                </wp:positionV>
                <wp:extent cx="38100" cy="0"/>
                <wp:effectExtent l="8255" t="13335" r="10795" b="571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E495" id="Line 31"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5pt,11.05pt" to="28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" strokecolor="#231f20" strokeweight=".6pt">
                <w10:wrap anchorx="page"/>
              </v:line>
            </w:pict>
          </mc:Fallback>
        </mc:AlternateContent>
      </w:r>
      <w:r w:rsidRPr="00551035">
        <w:rPr>
          <w:rFonts w:asciiTheme="minorHAnsi" w:hAnsiTheme="minorHAnsi" w:cstheme="minorHAnsi"/>
        </w:rPr>
        <w:t>carrying-ticks-mosquitoes#.W094lNVKiUk</w:t>
      </w:r>
    </w:p>
    <w:p w14:paraId="5465DE27" w14:textId="77777777" w:rsidR="00857C15" w:rsidRPr="00551035" w:rsidRDefault="00857C15">
      <w:pPr>
        <w:pStyle w:val="BodyText"/>
        <w:rPr>
          <w:rFonts w:asciiTheme="minorHAnsi" w:hAnsiTheme="minorHAnsi" w:cstheme="minorHAnsi"/>
          <w:sz w:val="16"/>
          <w:szCs w:val="16"/>
        </w:rPr>
      </w:pPr>
    </w:p>
    <w:p w14:paraId="58AC2A46" w14:textId="77777777" w:rsidR="00933F2D" w:rsidRDefault="00933F2D" w:rsidP="00933F2D">
      <w:pPr>
        <w:ind w:left="720"/>
        <w:rPr>
          <w:rFonts w:asciiTheme="minorHAnsi" w:hAnsiTheme="minorHAnsi" w:cstheme="minorHAnsi"/>
        </w:rPr>
      </w:pPr>
      <w:r w:rsidRPr="00933F2D">
        <w:rPr>
          <w:rFonts w:asciiTheme="minorHAnsi" w:hAnsiTheme="minorHAnsi" w:cstheme="minorHAnsi"/>
        </w:rPr>
        <w:t xml:space="preserve">“The inconvenient yet undisputable fact is that no botanical repellent has been proven to be as safe as DEET, and the majority never had any safety testing whatsoever. The automatic assumption that botanical repellents are safer than DEET is the ‘appeal to nature fallacy,’ which also drives most of the market for “natural” repellents, yet natural repellents have side effects and even a body count.”  </w:t>
      </w:r>
    </w:p>
    <w:p w14:paraId="6E3FD009" w14:textId="65E3366F" w:rsidR="00933F2D" w:rsidRPr="00933F2D" w:rsidRDefault="00933F2D" w:rsidP="006E0D54">
      <w:pPr>
        <w:spacing w:line="200" w:lineRule="exact"/>
        <w:ind w:left="1512" w:right="693" w:hanging="1"/>
        <w:rPr>
          <w:rFonts w:asciiTheme="minorHAnsi" w:eastAsiaTheme="minorHAnsi" w:hAnsiTheme="minorHAnsi" w:cstheme="minorHAnsi"/>
        </w:rPr>
      </w:pPr>
      <w:r w:rsidRPr="00933F2D">
        <w:rPr>
          <w:rFonts w:asciiTheme="minorHAnsi" w:hAnsiTheme="minorHAnsi" w:cstheme="minorHAnsi"/>
        </w:rPr>
        <w:t xml:space="preserve">Shelomi, M. Who’s afraid of DEET? Fearmongering in papers on botanical repellents. </w:t>
      </w:r>
      <w:r w:rsidRPr="006E0D54">
        <w:rPr>
          <w:rFonts w:asciiTheme="minorHAnsi" w:hAnsiTheme="minorHAnsi" w:cstheme="minorHAnsi"/>
          <w:i/>
          <w:iCs/>
        </w:rPr>
        <w:t>Malaria Journal</w:t>
      </w:r>
      <w:r w:rsidRPr="00933F2D">
        <w:rPr>
          <w:rFonts w:asciiTheme="minorHAnsi" w:hAnsiTheme="minorHAnsi" w:cstheme="minorHAnsi"/>
        </w:rPr>
        <w:t xml:space="preserve"> 2020 </w:t>
      </w:r>
      <w:hyperlink r:id="rId11" w:history="1">
        <w:r w:rsidRPr="00260A60">
          <w:rPr>
            <w:rFonts w:asciiTheme="minorHAnsi" w:hAnsiTheme="minorHAnsi" w:cstheme="minorHAnsi"/>
          </w:rPr>
          <w:t>https://malariajournal.biomedcentral.com/articles/10.1186/s12936-020-03217-5</w:t>
        </w:r>
      </w:hyperlink>
      <w:r w:rsidRPr="00933F2D">
        <w:rPr>
          <w:rFonts w:asciiTheme="minorHAnsi" w:hAnsiTheme="minorHAnsi" w:cstheme="minorHAnsi"/>
        </w:rPr>
        <w:t xml:space="preserve"> </w:t>
      </w:r>
    </w:p>
    <w:p w14:paraId="211CCF53" w14:textId="77777777" w:rsidR="00933F2D" w:rsidRPr="00933F2D" w:rsidRDefault="00933F2D" w:rsidP="00933F2D">
      <w:pPr>
        <w:ind w:left="720"/>
        <w:rPr>
          <w:rFonts w:asciiTheme="minorHAnsi" w:hAnsiTheme="minorHAnsi" w:cstheme="minorHAnsi"/>
        </w:rPr>
      </w:pPr>
    </w:p>
    <w:p w14:paraId="78BF0857" w14:textId="77777777" w:rsidR="00933F2D" w:rsidRDefault="00933F2D" w:rsidP="00933F2D">
      <w:pPr>
        <w:ind w:left="720"/>
        <w:rPr>
          <w:rFonts w:asciiTheme="minorHAnsi" w:hAnsiTheme="minorHAnsi" w:cstheme="minorHAnsi"/>
        </w:rPr>
      </w:pPr>
      <w:r w:rsidRPr="00933F2D">
        <w:rPr>
          <w:rFonts w:asciiTheme="minorHAnsi" w:hAnsiTheme="minorHAnsi" w:cstheme="minorHAnsi"/>
        </w:rPr>
        <w:t xml:space="preserve">“Despite various efforts to improve upon DEET, it remains the gold standard for personal protection.” </w:t>
      </w:r>
    </w:p>
    <w:p w14:paraId="70FE538A" w14:textId="77777777" w:rsidR="00260A60" w:rsidRPr="006E0D54" w:rsidRDefault="00933F2D" w:rsidP="006E0D54">
      <w:pPr>
        <w:spacing w:line="200" w:lineRule="exact"/>
        <w:ind w:left="1512" w:right="693" w:hanging="1"/>
        <w:rPr>
          <w:rFonts w:asciiTheme="minorHAnsi" w:hAnsiTheme="minorHAnsi" w:cstheme="minorHAnsi"/>
        </w:rPr>
      </w:pPr>
      <w:r w:rsidRPr="006E0D54">
        <w:rPr>
          <w:rFonts w:asciiTheme="minorHAnsi" w:hAnsiTheme="minorHAnsi" w:cstheme="minorHAnsi"/>
        </w:rPr>
        <w:t xml:space="preserve">Dennis, E.J., Goldman, O.V. and Vosshall, L.B.,  Aedes aegypti Mosquitoes Use Their Legs to Sense DEET on Contact. </w:t>
      </w:r>
      <w:r w:rsidRPr="006E0D54">
        <w:rPr>
          <w:rFonts w:asciiTheme="minorHAnsi" w:hAnsiTheme="minorHAnsi" w:cstheme="minorHAnsi"/>
          <w:i/>
          <w:iCs/>
        </w:rPr>
        <w:t>Current Biology</w:t>
      </w:r>
      <w:r w:rsidRPr="006E0D54">
        <w:rPr>
          <w:rFonts w:asciiTheme="minorHAnsi" w:hAnsiTheme="minorHAnsi" w:cstheme="minorHAnsi"/>
        </w:rPr>
        <w:t xml:space="preserve"> 2019 </w:t>
      </w:r>
    </w:p>
    <w:p w14:paraId="694A65E9" w14:textId="088DCED9" w:rsidR="00933F2D" w:rsidRPr="00260A60" w:rsidRDefault="00000000" w:rsidP="006E0D54">
      <w:pPr>
        <w:spacing w:line="200" w:lineRule="exact"/>
        <w:ind w:left="1512" w:right="693" w:hanging="1"/>
        <w:rPr>
          <w:rFonts w:asciiTheme="minorHAnsi" w:hAnsiTheme="minorHAnsi" w:cstheme="minorHAnsi"/>
        </w:rPr>
      </w:pPr>
      <w:hyperlink r:id="rId12" w:history="1">
        <w:r w:rsidR="00260A60" w:rsidRPr="00260A60">
          <w:rPr>
            <w:rFonts w:asciiTheme="minorHAnsi" w:hAnsiTheme="minorHAnsi" w:cstheme="minorHAnsi"/>
          </w:rPr>
          <w:t>https://www.cell.com/current-biology/fulltext/S0960-9822(19)30402-6</w:t>
        </w:r>
      </w:hyperlink>
    </w:p>
    <w:p w14:paraId="663495C7" w14:textId="77777777" w:rsidR="00933F2D" w:rsidRPr="00933F2D" w:rsidRDefault="00933F2D" w:rsidP="00933F2D">
      <w:pPr>
        <w:ind w:left="720"/>
        <w:rPr>
          <w:rFonts w:asciiTheme="minorHAnsi" w:hAnsiTheme="minorHAnsi" w:cstheme="minorHAnsi"/>
        </w:rPr>
      </w:pPr>
    </w:p>
    <w:p w14:paraId="1EB17166" w14:textId="77777777" w:rsidR="00933F2D" w:rsidRDefault="00933F2D" w:rsidP="00933F2D">
      <w:pPr>
        <w:ind w:left="720"/>
        <w:rPr>
          <w:rFonts w:asciiTheme="minorHAnsi" w:hAnsiTheme="minorHAnsi" w:cstheme="minorHAnsi"/>
        </w:rPr>
      </w:pPr>
      <w:r w:rsidRPr="00933F2D">
        <w:rPr>
          <w:rFonts w:asciiTheme="minorHAnsi" w:hAnsiTheme="minorHAnsi" w:cstheme="minorHAnsi"/>
        </w:rPr>
        <w:t xml:space="preserve">“N,N-diethyl- m-toluamide (DEET) 20% to 50% is the most studied and widely recommended insect repellent.” </w:t>
      </w:r>
    </w:p>
    <w:p w14:paraId="0A62CFFC" w14:textId="51DC7ED2" w:rsidR="00933F2D" w:rsidRPr="00933F2D" w:rsidRDefault="00933F2D" w:rsidP="00CB681B">
      <w:pPr>
        <w:spacing w:line="200" w:lineRule="exact"/>
        <w:ind w:left="1512" w:right="693" w:hanging="1"/>
        <w:rPr>
          <w:rFonts w:asciiTheme="minorHAnsi" w:hAnsiTheme="minorHAnsi" w:cstheme="minorHAnsi"/>
        </w:rPr>
      </w:pPr>
      <w:r w:rsidRPr="00933F2D">
        <w:rPr>
          <w:rFonts w:asciiTheme="minorHAnsi" w:hAnsiTheme="minorHAnsi" w:cstheme="minorHAnsi"/>
        </w:rPr>
        <w:t xml:space="preserve">Herness J, Snyder MJ, Newman RS., Arthropod Bites and Stings. </w:t>
      </w:r>
      <w:r w:rsidRPr="00CB681B">
        <w:rPr>
          <w:rFonts w:asciiTheme="minorHAnsi" w:hAnsiTheme="minorHAnsi" w:cstheme="minorHAnsi"/>
          <w:i/>
          <w:iCs/>
        </w:rPr>
        <w:t>Am</w:t>
      </w:r>
      <w:r w:rsidR="005866EF">
        <w:rPr>
          <w:rFonts w:asciiTheme="minorHAnsi" w:hAnsiTheme="minorHAnsi" w:cstheme="minorHAnsi"/>
          <w:i/>
          <w:iCs/>
        </w:rPr>
        <w:t>erican</w:t>
      </w:r>
      <w:r w:rsidRPr="00CB681B">
        <w:rPr>
          <w:rFonts w:asciiTheme="minorHAnsi" w:hAnsiTheme="minorHAnsi" w:cstheme="minorHAnsi"/>
          <w:i/>
          <w:iCs/>
        </w:rPr>
        <w:t xml:space="preserve"> Fam</w:t>
      </w:r>
      <w:r w:rsidR="005866EF">
        <w:rPr>
          <w:rFonts w:asciiTheme="minorHAnsi" w:hAnsiTheme="minorHAnsi" w:cstheme="minorHAnsi"/>
          <w:i/>
          <w:iCs/>
        </w:rPr>
        <w:t>ily</w:t>
      </w:r>
      <w:r w:rsidRPr="00CB681B">
        <w:rPr>
          <w:rFonts w:asciiTheme="minorHAnsi" w:hAnsiTheme="minorHAnsi" w:cstheme="minorHAnsi"/>
          <w:i/>
          <w:iCs/>
        </w:rPr>
        <w:t xml:space="preserve"> Physician</w:t>
      </w:r>
      <w:r w:rsidRPr="00933F2D">
        <w:rPr>
          <w:rFonts w:asciiTheme="minorHAnsi" w:hAnsiTheme="minorHAnsi" w:cstheme="minorHAnsi"/>
        </w:rPr>
        <w:t xml:space="preserve">. 2022 </w:t>
      </w:r>
      <w:hyperlink r:id="rId13" w:history="1">
        <w:r w:rsidRPr="00260A60">
          <w:rPr>
            <w:rFonts w:asciiTheme="minorHAnsi" w:hAnsiTheme="minorHAnsi" w:cstheme="minorHAnsi"/>
          </w:rPr>
          <w:t>https://www.aafp.org/pubs/afp/issues/2022/0800/arthropod-bites-stings.html</w:t>
        </w:r>
      </w:hyperlink>
    </w:p>
    <w:p w14:paraId="0BD19E1D" w14:textId="77777777" w:rsidR="00933F2D" w:rsidRPr="00933F2D" w:rsidRDefault="00933F2D" w:rsidP="00933F2D">
      <w:pPr>
        <w:rPr>
          <w:rFonts w:asciiTheme="minorHAnsi" w:hAnsiTheme="minorHAnsi" w:cstheme="minorHAnsi"/>
        </w:rPr>
      </w:pPr>
    </w:p>
    <w:p w14:paraId="17173D3C" w14:textId="6B934982" w:rsidR="00857C15" w:rsidRDefault="008B4348">
      <w:pPr>
        <w:spacing w:before="126"/>
        <w:ind w:left="597"/>
        <w:rPr>
          <w:rFonts w:ascii="Arial"/>
          <w:color w:val="231F20"/>
          <w:spacing w:val="-4"/>
          <w:sz w:val="14"/>
        </w:rPr>
      </w:pPr>
      <w:r>
        <w:rPr>
          <w:rFonts w:ascii="Arial"/>
          <w:color w:val="231F20"/>
          <w:spacing w:val="-4"/>
          <w:sz w:val="14"/>
        </w:rPr>
        <w:t xml:space="preserve">  </w:t>
      </w:r>
      <w:r w:rsidR="00A22CB3">
        <w:rPr>
          <w:rFonts w:ascii="Arial"/>
          <w:color w:val="231F20"/>
          <w:spacing w:val="-4"/>
          <w:sz w:val="14"/>
        </w:rPr>
        <w:t xml:space="preserve">Disclaimer: Content </w:t>
      </w:r>
      <w:r w:rsidR="00A22CB3">
        <w:rPr>
          <w:rFonts w:ascii="Arial"/>
          <w:color w:val="231F20"/>
          <w:spacing w:val="-3"/>
          <w:sz w:val="14"/>
        </w:rPr>
        <w:t xml:space="preserve">does not </w:t>
      </w:r>
      <w:r w:rsidR="00A22CB3">
        <w:rPr>
          <w:rFonts w:ascii="Arial"/>
          <w:color w:val="231F20"/>
          <w:spacing w:val="-4"/>
          <w:sz w:val="14"/>
        </w:rPr>
        <w:t xml:space="preserve">indicate </w:t>
      </w:r>
      <w:r w:rsidR="00A22CB3">
        <w:rPr>
          <w:rFonts w:ascii="Arial"/>
          <w:color w:val="231F20"/>
          <w:spacing w:val="-3"/>
          <w:sz w:val="14"/>
        </w:rPr>
        <w:t xml:space="preserve">any form </w:t>
      </w:r>
      <w:r w:rsidR="00A22CB3">
        <w:rPr>
          <w:rFonts w:ascii="Arial"/>
          <w:color w:val="231F20"/>
          <w:sz w:val="14"/>
        </w:rPr>
        <w:t xml:space="preserve">of </w:t>
      </w:r>
      <w:r w:rsidR="00A22CB3">
        <w:rPr>
          <w:rFonts w:ascii="Arial"/>
          <w:color w:val="231F20"/>
          <w:spacing w:val="-4"/>
          <w:sz w:val="14"/>
        </w:rPr>
        <w:t xml:space="preserve">endorsement </w:t>
      </w:r>
      <w:r w:rsidR="00A22CB3">
        <w:rPr>
          <w:rFonts w:ascii="Arial"/>
          <w:color w:val="231F20"/>
          <w:sz w:val="14"/>
        </w:rPr>
        <w:t xml:space="preserve">or </w:t>
      </w:r>
      <w:r w:rsidR="00A22CB3">
        <w:rPr>
          <w:rFonts w:ascii="Arial"/>
          <w:color w:val="231F20"/>
          <w:spacing w:val="-4"/>
          <w:sz w:val="14"/>
        </w:rPr>
        <w:t xml:space="preserve">approval </w:t>
      </w:r>
      <w:r w:rsidR="00A22CB3">
        <w:rPr>
          <w:rFonts w:ascii="Arial"/>
          <w:color w:val="231F20"/>
          <w:sz w:val="14"/>
        </w:rPr>
        <w:t xml:space="preserve">of </w:t>
      </w:r>
      <w:r w:rsidR="00A22CB3">
        <w:rPr>
          <w:rFonts w:ascii="Arial"/>
          <w:color w:val="231F20"/>
          <w:spacing w:val="-3"/>
          <w:sz w:val="14"/>
        </w:rPr>
        <w:t xml:space="preserve">the </w:t>
      </w:r>
      <w:r w:rsidR="00A22CB3">
        <w:rPr>
          <w:rFonts w:ascii="Arial"/>
          <w:color w:val="231F20"/>
          <w:spacing w:val="-4"/>
          <w:sz w:val="14"/>
        </w:rPr>
        <w:t xml:space="preserve">brand </w:t>
      </w:r>
      <w:r w:rsidR="00A22CB3">
        <w:rPr>
          <w:rFonts w:ascii="Arial"/>
          <w:color w:val="231F20"/>
          <w:sz w:val="14"/>
        </w:rPr>
        <w:t xml:space="preserve">or </w:t>
      </w:r>
      <w:r w:rsidR="00A22CB3">
        <w:rPr>
          <w:rFonts w:ascii="Arial"/>
          <w:color w:val="231F20"/>
          <w:spacing w:val="-3"/>
          <w:sz w:val="14"/>
        </w:rPr>
        <w:t xml:space="preserve">its </w:t>
      </w:r>
      <w:r w:rsidR="00A22CB3">
        <w:rPr>
          <w:rFonts w:ascii="Arial"/>
          <w:color w:val="231F20"/>
          <w:spacing w:val="-4"/>
          <w:sz w:val="14"/>
        </w:rPr>
        <w:t xml:space="preserve">products </w:t>
      </w:r>
      <w:r w:rsidR="00A22CB3">
        <w:rPr>
          <w:rFonts w:ascii="Arial"/>
          <w:color w:val="231F20"/>
          <w:sz w:val="14"/>
        </w:rPr>
        <w:t xml:space="preserve">by </w:t>
      </w:r>
      <w:r w:rsidR="00A22CB3">
        <w:rPr>
          <w:rFonts w:ascii="Arial"/>
          <w:color w:val="231F20"/>
          <w:spacing w:val="-3"/>
          <w:sz w:val="14"/>
        </w:rPr>
        <w:t xml:space="preserve">the CDC </w:t>
      </w:r>
      <w:r w:rsidR="00A22CB3">
        <w:rPr>
          <w:rFonts w:ascii="Arial"/>
          <w:color w:val="231F20"/>
          <w:sz w:val="14"/>
        </w:rPr>
        <w:t xml:space="preserve">or </w:t>
      </w:r>
      <w:r w:rsidR="00A22CB3">
        <w:rPr>
          <w:rFonts w:ascii="Arial"/>
          <w:color w:val="231F20"/>
          <w:spacing w:val="-3"/>
          <w:sz w:val="14"/>
        </w:rPr>
        <w:t xml:space="preserve">any </w:t>
      </w:r>
      <w:r w:rsidR="00A22CB3">
        <w:rPr>
          <w:rFonts w:ascii="Arial"/>
          <w:color w:val="231F20"/>
          <w:sz w:val="14"/>
        </w:rPr>
        <w:t xml:space="preserve">of </w:t>
      </w:r>
      <w:r w:rsidR="00A22CB3">
        <w:rPr>
          <w:rFonts w:ascii="Arial"/>
          <w:color w:val="231F20"/>
          <w:spacing w:val="-3"/>
          <w:sz w:val="14"/>
        </w:rPr>
        <w:t xml:space="preserve">the </w:t>
      </w:r>
      <w:r w:rsidR="00A22CB3">
        <w:rPr>
          <w:rFonts w:ascii="Arial"/>
          <w:color w:val="231F20"/>
          <w:spacing w:val="-4"/>
          <w:sz w:val="14"/>
        </w:rPr>
        <w:t xml:space="preserve">individuals </w:t>
      </w:r>
      <w:r w:rsidR="00A22CB3">
        <w:rPr>
          <w:rFonts w:ascii="Arial"/>
          <w:color w:val="231F20"/>
          <w:sz w:val="14"/>
        </w:rPr>
        <w:t xml:space="preserve">or </w:t>
      </w:r>
      <w:r w:rsidR="00A22CB3">
        <w:rPr>
          <w:rFonts w:ascii="Arial"/>
          <w:color w:val="231F20"/>
          <w:spacing w:val="-4"/>
          <w:sz w:val="14"/>
        </w:rPr>
        <w:t>other organizations cited.</w:t>
      </w:r>
    </w:p>
    <w:p w14:paraId="0C77DEB7" w14:textId="77777777" w:rsidR="00EB2C6A" w:rsidRDefault="00EB2C6A">
      <w:pPr>
        <w:spacing w:before="126"/>
        <w:ind w:left="597"/>
        <w:rPr>
          <w:rFonts w:ascii="Arial"/>
          <w:color w:val="231F20"/>
          <w:spacing w:val="-4"/>
          <w:sz w:val="14"/>
        </w:rPr>
      </w:pPr>
    </w:p>
    <w:p w14:paraId="06E75B68" w14:textId="77777777" w:rsidR="00260A60" w:rsidRDefault="00260A60" w:rsidP="008C5A61">
      <w:pPr>
        <w:spacing w:before="126"/>
        <w:ind w:left="597"/>
        <w:rPr>
          <w:rFonts w:ascii="Times New Roman"/>
          <w:color w:val="231F20"/>
          <w:sz w:val="14"/>
        </w:rPr>
      </w:pPr>
    </w:p>
    <w:p w14:paraId="5D666B55" w14:textId="57E8EF87" w:rsidR="008C5A61" w:rsidRDefault="00EB2C6A" w:rsidP="008C5A61">
      <w:pPr>
        <w:spacing w:before="126"/>
        <w:ind w:left="597"/>
        <w:rPr>
          <w:rFonts w:ascii="Times New Roman"/>
          <w:color w:val="231F20"/>
          <w:sz w:val="14"/>
        </w:rPr>
      </w:pPr>
      <w:r>
        <w:rPr>
          <w:rFonts w:ascii="Arial"/>
          <w:noProof/>
          <w:color w:val="231F20"/>
          <w:spacing w:val="-4"/>
          <w:sz w:val="14"/>
        </w:rPr>
        <mc:AlternateContent>
          <mc:Choice Requires="wps">
            <w:drawing>
              <wp:anchor distT="0" distB="0" distL="114300" distR="114300" simplePos="0" relativeHeight="251658240" behindDoc="0" locked="0" layoutInCell="1" allowOverlap="1" wp14:anchorId="22344DD4" wp14:editId="38CBD448">
                <wp:simplePos x="0" y="0"/>
                <wp:positionH relativeFrom="column">
                  <wp:posOffset>3357880</wp:posOffset>
                </wp:positionH>
                <wp:positionV relativeFrom="paragraph">
                  <wp:posOffset>825923</wp:posOffset>
                </wp:positionV>
                <wp:extent cx="3573145" cy="377825"/>
                <wp:effectExtent l="0" t="1905" r="0" b="127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1C2DC" w14:textId="77777777" w:rsidR="008C5A61" w:rsidRPr="00F94952" w:rsidRDefault="008C5A61" w:rsidP="008C5A61">
                            <w:pPr>
                              <w:spacing w:before="22" w:line="249" w:lineRule="auto"/>
                              <w:ind w:left="100" w:right="117"/>
                              <w:rPr>
                                <w:rFonts w:ascii="Arial"/>
                                <w:color w:val="231F20"/>
                                <w:sz w:val="18"/>
                              </w:rPr>
                            </w:pPr>
                            <w:r>
                              <w:rPr>
                                <w:rFonts w:ascii="Arial"/>
                                <w:color w:val="231F20"/>
                                <w:sz w:val="18"/>
                              </w:rPr>
                              <w:t>The DEET Education Program operates under the auspices of the Household &amp; Commercial Products 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344DD4" id="_x0000_t202" coordsize="21600,21600" o:spt="202" path="m,l,21600r21600,l21600,xe">
                <v:stroke joinstyle="miter"/>
                <v:path gradientshapeok="t" o:connecttype="rect"/>
              </v:shapetype>
              <v:shape id="Text Box 34" o:spid="_x0000_s1026" type="#_x0000_t202" style="position:absolute;left:0;text-align:left;margin-left:264.4pt;margin-top:65.05pt;width:281.3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" stroked="f">
                <v:textbox style="mso-fit-shape-to-text:t">
                  <w:txbxContent>
                    <w:p w14:paraId="2C61C2DC" w14:textId="77777777" w:rsidR="008C5A61" w:rsidRPr="00F94952" w:rsidRDefault="008C5A61" w:rsidP="008C5A61">
                      <w:pPr>
                        <w:spacing w:before="22" w:line="249" w:lineRule="auto"/>
                        <w:ind w:left="100" w:right="117"/>
                        <w:rPr>
                          <w:rFonts w:ascii="Arial"/>
                          <w:color w:val="231F20"/>
                          <w:sz w:val="18"/>
                        </w:rPr>
                      </w:pPr>
                      <w:r>
                        <w:rPr>
                          <w:rFonts w:ascii="Arial"/>
                          <w:color w:val="231F20"/>
                          <w:sz w:val="18"/>
                        </w:rPr>
                        <w:t>The DEET Education Program operates under the auspices of the Household &amp; Commercial Products Association</w:t>
                      </w:r>
                    </w:p>
                  </w:txbxContent>
                </v:textbox>
                <w10:wrap type="square"/>
              </v:shape>
            </w:pict>
          </mc:Fallback>
        </mc:AlternateContent>
      </w:r>
      <w:r w:rsidR="00260A60">
        <w:rPr>
          <w:rFonts w:ascii="Arial"/>
          <w:noProof/>
          <w:color w:val="231F20"/>
          <w:spacing w:val="-4"/>
          <w:sz w:val="14"/>
        </w:rPr>
        <w:drawing>
          <wp:inline distT="0" distB="0" distL="0" distR="0" wp14:anchorId="7389CCA5" wp14:editId="3DC6487F">
            <wp:extent cx="1181100" cy="11811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96154" cy="1196154"/>
                    </a:xfrm>
                    <a:prstGeom prst="rect">
                      <a:avLst/>
                    </a:prstGeom>
                  </pic:spPr>
                </pic:pic>
              </a:graphicData>
            </a:graphic>
          </wp:inline>
        </w:drawing>
      </w:r>
    </w:p>
    <w:p w14:paraId="4D6667D3" w14:textId="77777777" w:rsidR="008C5A61" w:rsidRDefault="008C5A61" w:rsidP="008C5A61">
      <w:pPr>
        <w:spacing w:before="126"/>
        <w:ind w:left="597"/>
        <w:rPr>
          <w:rFonts w:ascii="Times New Roman"/>
          <w:color w:val="231F20"/>
          <w:sz w:val="14"/>
        </w:rPr>
      </w:pPr>
    </w:p>
    <w:p w14:paraId="0FD820B5" w14:textId="36BA0B9E" w:rsidR="00857C15" w:rsidRDefault="00387D0B">
      <w:pPr>
        <w:ind w:right="101"/>
        <w:jc w:val="right"/>
        <w:rPr>
          <w:rFonts w:ascii="Times New Roman"/>
          <w:sz w:val="14"/>
        </w:rPr>
      </w:pPr>
      <w:r>
        <w:rPr>
          <w:rFonts w:ascii="Times New Roman"/>
          <w:color w:val="231F20"/>
          <w:sz w:val="14"/>
        </w:rPr>
        <w:t>0</w:t>
      </w:r>
      <w:r w:rsidR="00933F2D">
        <w:rPr>
          <w:rFonts w:ascii="Times New Roman"/>
          <w:color w:val="231F20"/>
          <w:sz w:val="14"/>
        </w:rPr>
        <w:t>306</w:t>
      </w:r>
      <w:r>
        <w:rPr>
          <w:rFonts w:ascii="Times New Roman"/>
          <w:color w:val="231F20"/>
          <w:sz w:val="14"/>
        </w:rPr>
        <w:t>2</w:t>
      </w:r>
      <w:r w:rsidR="00BB3ADF">
        <w:rPr>
          <w:rFonts w:ascii="Times New Roman"/>
          <w:color w:val="231F20"/>
          <w:sz w:val="14"/>
        </w:rPr>
        <w:t>3</w:t>
      </w:r>
    </w:p>
    <w:sectPr w:rsidR="00857C15" w:rsidSect="00933F2D">
      <w:type w:val="continuous"/>
      <w:pgSz w:w="12240" w:h="15860"/>
      <w:pgMar w:top="720" w:right="580" w:bottom="72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15"/>
    <w:rsid w:val="00006084"/>
    <w:rsid w:val="00032FE6"/>
    <w:rsid w:val="000367E5"/>
    <w:rsid w:val="0016259D"/>
    <w:rsid w:val="0022332A"/>
    <w:rsid w:val="00260A60"/>
    <w:rsid w:val="00281257"/>
    <w:rsid w:val="00321F1E"/>
    <w:rsid w:val="00387D0B"/>
    <w:rsid w:val="00396649"/>
    <w:rsid w:val="003C23CD"/>
    <w:rsid w:val="00551035"/>
    <w:rsid w:val="005866EF"/>
    <w:rsid w:val="006A6BA1"/>
    <w:rsid w:val="006E0D54"/>
    <w:rsid w:val="006E56EA"/>
    <w:rsid w:val="00857C15"/>
    <w:rsid w:val="008A2853"/>
    <w:rsid w:val="008B4348"/>
    <w:rsid w:val="008C5A61"/>
    <w:rsid w:val="008D629C"/>
    <w:rsid w:val="00933F2D"/>
    <w:rsid w:val="00A153D6"/>
    <w:rsid w:val="00A22CB3"/>
    <w:rsid w:val="00AD23DE"/>
    <w:rsid w:val="00B015DF"/>
    <w:rsid w:val="00BB3ADF"/>
    <w:rsid w:val="00C44FDC"/>
    <w:rsid w:val="00C572EF"/>
    <w:rsid w:val="00CB3FAB"/>
    <w:rsid w:val="00CB681B"/>
    <w:rsid w:val="00D802A9"/>
    <w:rsid w:val="00EB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BA4E"/>
  <w15:docId w15:val="{D4E131F4-B3BF-408D-BD73-94A55CE4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2CB3"/>
    <w:rPr>
      <w:color w:val="0000FF" w:themeColor="hyperlink"/>
      <w:u w:val="single"/>
    </w:rPr>
  </w:style>
  <w:style w:type="paragraph" w:styleId="BalloonText">
    <w:name w:val="Balloon Text"/>
    <w:basedOn w:val="Normal"/>
    <w:link w:val="BalloonTextChar"/>
    <w:uiPriority w:val="99"/>
    <w:semiHidden/>
    <w:unhideWhenUsed/>
    <w:rsid w:val="00D80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2A9"/>
    <w:rPr>
      <w:rFonts w:ascii="Segoe UI" w:eastAsia="Garamond" w:hAnsi="Segoe UI" w:cs="Segoe UI"/>
      <w:sz w:val="18"/>
      <w:szCs w:val="18"/>
    </w:rPr>
  </w:style>
  <w:style w:type="character" w:styleId="FollowedHyperlink">
    <w:name w:val="FollowedHyperlink"/>
    <w:basedOn w:val="DefaultParagraphFont"/>
    <w:uiPriority w:val="99"/>
    <w:semiHidden/>
    <w:unhideWhenUsed/>
    <w:rsid w:val="00C572EF"/>
    <w:rPr>
      <w:color w:val="800080" w:themeColor="followedHyperlink"/>
      <w:u w:val="single"/>
    </w:rPr>
  </w:style>
  <w:style w:type="character" w:styleId="UnresolvedMention">
    <w:name w:val="Unresolved Mention"/>
    <w:basedOn w:val="DefaultParagraphFont"/>
    <w:uiPriority w:val="99"/>
    <w:semiHidden/>
    <w:unhideWhenUsed/>
    <w:rsid w:val="0038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0892">
      <w:bodyDiv w:val="1"/>
      <w:marLeft w:val="0"/>
      <w:marRight w:val="0"/>
      <w:marTop w:val="0"/>
      <w:marBottom w:val="0"/>
      <w:divBdr>
        <w:top w:val="none" w:sz="0" w:space="0" w:color="auto"/>
        <w:left w:val="none" w:sz="0" w:space="0" w:color="auto"/>
        <w:bottom w:val="none" w:sz="0" w:space="0" w:color="auto"/>
        <w:right w:val="none" w:sz="0" w:space="0" w:color="auto"/>
      </w:divBdr>
    </w:div>
    <w:div w:id="211690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jm.org/doi/full/10.1056/NEJM200207043470102" TargetMode="External"/><Relationship Id="rId13" Type="http://schemas.openxmlformats.org/officeDocument/2006/relationships/hyperlink" Target="https://www.aafp.org/pubs/afp/issues/2022/0800/arthropod-bites-stings.html" TargetMode="External"/><Relationship Id="rId3" Type="http://schemas.openxmlformats.org/officeDocument/2006/relationships/webSettings" Target="webSettings.xml"/><Relationship Id="rId7" Type="http://schemas.openxmlformats.org/officeDocument/2006/relationships/hyperlink" Target="http://www.nejm.org/doi/pdf/10.1056/NEJMoa011699" TargetMode="External"/><Relationship Id="rId12" Type="http://schemas.openxmlformats.org/officeDocument/2006/relationships/hyperlink" Target="https://www.cell.com/current-biology/fulltext/S0960-9822(19)30402-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ap.org/en-us/about-the-aap/aap-press-room/news-features-and-safety-tips/Pages/Summer-" TargetMode="External"/><Relationship Id="rId11" Type="http://schemas.openxmlformats.org/officeDocument/2006/relationships/hyperlink" Target="https://malariajournal.biomedcentral.com/articles/10.1186/s12936-020-03217-5" TargetMode="External"/><Relationship Id="rId5" Type="http://schemas.openxmlformats.org/officeDocument/2006/relationships/hyperlink" Target="http://www.epa.gov/insect-repellents/deet" TargetMode="External"/><Relationship Id="rId15" Type="http://schemas.openxmlformats.org/officeDocument/2006/relationships/fontTable" Target="fontTable.xml"/><Relationship Id="rId10" Type="http://schemas.openxmlformats.org/officeDocument/2006/relationships/hyperlink" Target="http://www.ewg.org/release/ewg-s-2018-guide-bug-repellents-can-help-fend-disease-" TargetMode="External"/><Relationship Id="rId4" Type="http://schemas.openxmlformats.org/officeDocument/2006/relationships/image" Target="media/image1.png"/><Relationship Id="rId9" Type="http://schemas.openxmlformats.org/officeDocument/2006/relationships/hyperlink" Target="http://www.ewg.org/research/ewgs-guide-bug-repellent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Debbie Nellson</dc:creator>
  <cp:lastModifiedBy>Debbie Nellson</cp:lastModifiedBy>
  <cp:revision>3</cp:revision>
  <cp:lastPrinted>2023-03-19T18:10:00Z</cp:lastPrinted>
  <dcterms:created xsi:type="dcterms:W3CDTF">2023-03-20T15:00:00Z</dcterms:created>
  <dcterms:modified xsi:type="dcterms:W3CDTF">2023-03-20T15:08:00Z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QuarkXPress(R) 9.54</vt:lpwstr>
  </property>
  <property fmtid="{D5CDD505-2E9C-101B-9397-08002B2CF9AE}" pid="4" name="LastSaved">
    <vt:filetime>2019-06-05T00:00:00Z</vt:filetime>
  </property>
</Properties>
</file>